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69C5" w:rsidRDefault="00F369C5" w:rsidP="00F369C5">
      <w:pPr>
        <w:ind w:left="260"/>
        <w:rPr>
          <w:sz w:val="20"/>
          <w:szCs w:val="20"/>
        </w:rPr>
      </w:pPr>
      <w:r>
        <w:rPr>
          <w:rFonts w:ascii="Arial" w:eastAsia="Arial" w:hAnsi="Arial" w:cs="Arial"/>
          <w:b/>
          <w:bCs/>
          <w:sz w:val="23"/>
          <w:szCs w:val="23"/>
        </w:rPr>
        <w:t>UNIDAD CURRICULAR CIENCIA Y TECNOLOGIA</w:t>
      </w:r>
    </w:p>
    <w:p w:rsidR="00F369C5" w:rsidRDefault="00F369C5" w:rsidP="00F369C5">
      <w:pPr>
        <w:spacing w:line="111" w:lineRule="exact"/>
        <w:rPr>
          <w:sz w:val="20"/>
          <w:szCs w:val="20"/>
        </w:rPr>
      </w:pPr>
    </w:p>
    <w:p w:rsidR="00F369C5" w:rsidRDefault="00F369C5" w:rsidP="00F369C5">
      <w:pPr>
        <w:ind w:left="260"/>
        <w:rPr>
          <w:sz w:val="20"/>
          <w:szCs w:val="20"/>
        </w:rPr>
      </w:pPr>
      <w:r>
        <w:rPr>
          <w:rFonts w:ascii="Arial" w:eastAsia="Arial" w:hAnsi="Arial" w:cs="Arial"/>
          <w:b/>
          <w:bCs/>
          <w:sz w:val="23"/>
          <w:szCs w:val="23"/>
        </w:rPr>
        <w:t>4°Año- 2° Ciclo</w:t>
      </w:r>
    </w:p>
    <w:p w:rsidR="00F369C5" w:rsidRDefault="00F369C5" w:rsidP="00F369C5">
      <w:pPr>
        <w:spacing w:line="111" w:lineRule="exact"/>
        <w:rPr>
          <w:sz w:val="20"/>
          <w:szCs w:val="20"/>
        </w:rPr>
      </w:pPr>
    </w:p>
    <w:p w:rsidR="00F369C5" w:rsidRDefault="00F369C5" w:rsidP="00F369C5">
      <w:pPr>
        <w:ind w:left="260"/>
        <w:rPr>
          <w:sz w:val="20"/>
          <w:szCs w:val="20"/>
        </w:rPr>
      </w:pPr>
      <w:r>
        <w:rPr>
          <w:rFonts w:ascii="Arial" w:eastAsia="Arial" w:hAnsi="Arial" w:cs="Arial"/>
          <w:b/>
          <w:bCs/>
          <w:sz w:val="23"/>
          <w:szCs w:val="23"/>
        </w:rPr>
        <w:t>1.- Presentación general de la asignatura</w:t>
      </w:r>
    </w:p>
    <w:p w:rsidR="00F369C5" w:rsidRDefault="00F369C5" w:rsidP="00F369C5">
      <w:pPr>
        <w:spacing w:line="246" w:lineRule="exact"/>
        <w:rPr>
          <w:sz w:val="20"/>
          <w:szCs w:val="20"/>
        </w:rPr>
      </w:pPr>
    </w:p>
    <w:p w:rsidR="00F369C5" w:rsidRDefault="00F369C5" w:rsidP="003307EB">
      <w:pPr>
        <w:spacing w:line="258" w:lineRule="auto"/>
        <w:ind w:left="260"/>
        <w:jc w:val="both"/>
        <w:rPr>
          <w:sz w:val="20"/>
          <w:szCs w:val="20"/>
        </w:rPr>
      </w:pPr>
      <w:r>
        <w:rPr>
          <w:rFonts w:ascii="Arial" w:eastAsia="Arial" w:hAnsi="Arial" w:cs="Arial"/>
          <w:sz w:val="21"/>
          <w:szCs w:val="21"/>
        </w:rPr>
        <w:t>Esta unidad curricular cuenta con 2 horas cátedras por semana, que es el equivalente a 48 horas reloj anuales. Tiene como finalidad contribuir al desarrollo de los/las alumnos/as con una formación general; y específicamente trata el recorte de conocimiento de los nuevo paradigmas, de la modernidad, y su avance tecnológico, que a través del marco digital de desarrollo, han cambiado nuestra sociedad, no solo en el desarrollo técnico especifico instrumental a través de las nuevas tecnologías, sino lo que estas produjeron en nuestras vidas cotidianas; y en la sociedad; con el cambio de hábitos, costumbres, a través del confort y el estado de bienestar. La importancia de lo técnico, científico, y tecnológico en el individuo, en la era de la modernidad; la tecnificación constante. El enfoque socio técnico cultural, no puede ser ajeno a nuestra juventud y menos a un alumnado; mucho menos en</w:t>
      </w:r>
      <w:bookmarkStart w:id="0" w:name="page122"/>
      <w:bookmarkEnd w:id="0"/>
      <w:r w:rsidR="003307EB">
        <w:rPr>
          <w:rFonts w:ascii="Arial" w:eastAsia="Arial" w:hAnsi="Arial" w:cs="Arial"/>
          <w:sz w:val="21"/>
          <w:szCs w:val="21"/>
        </w:rPr>
        <w:t xml:space="preserve"> </w:t>
      </w:r>
      <w:r>
        <w:rPr>
          <w:rFonts w:ascii="Arial" w:eastAsia="Arial" w:hAnsi="Arial" w:cs="Arial"/>
          <w:sz w:val="23"/>
          <w:szCs w:val="23"/>
        </w:rPr>
        <w:t>términos de participación, es por ello que en esta unidad curricular hemos destinado un espacio a la participación a través de la “Feria De Ciencia, Arte, Tecnología, Sociedad”. En la cual participan los estudiantes; que obtienen pertenencia además, en los “Clubes De Ciencia Y Tecnología”; otro los recorte integrados en la presente unidad curricular, de cara al futuro de nuestros educando.</w:t>
      </w:r>
    </w:p>
    <w:p w:rsidR="00F369C5" w:rsidRDefault="00F369C5" w:rsidP="00F369C5">
      <w:pPr>
        <w:spacing w:line="184" w:lineRule="exact"/>
        <w:rPr>
          <w:sz w:val="20"/>
          <w:szCs w:val="20"/>
        </w:rPr>
      </w:pPr>
    </w:p>
    <w:p w:rsidR="00F369C5" w:rsidRDefault="00F369C5" w:rsidP="00F369C5">
      <w:pPr>
        <w:ind w:left="260"/>
        <w:rPr>
          <w:sz w:val="20"/>
          <w:szCs w:val="20"/>
        </w:rPr>
      </w:pPr>
      <w:r>
        <w:rPr>
          <w:rFonts w:ascii="Arial" w:eastAsia="Arial" w:hAnsi="Arial" w:cs="Arial"/>
          <w:b/>
          <w:bCs/>
          <w:sz w:val="23"/>
          <w:szCs w:val="23"/>
        </w:rPr>
        <w:t>2.- Propósitos generales</w:t>
      </w:r>
    </w:p>
    <w:p w:rsidR="00F369C5" w:rsidRDefault="00F369C5" w:rsidP="00F369C5">
      <w:pPr>
        <w:spacing w:line="246" w:lineRule="exact"/>
        <w:rPr>
          <w:sz w:val="20"/>
          <w:szCs w:val="20"/>
        </w:rPr>
      </w:pPr>
    </w:p>
    <w:p w:rsidR="00F369C5" w:rsidRDefault="00F369C5" w:rsidP="00F369C5">
      <w:pPr>
        <w:spacing w:line="232" w:lineRule="auto"/>
        <w:ind w:left="260"/>
        <w:jc w:val="both"/>
        <w:rPr>
          <w:sz w:val="20"/>
          <w:szCs w:val="20"/>
        </w:rPr>
      </w:pPr>
      <w:r>
        <w:rPr>
          <w:rFonts w:ascii="Arial" w:eastAsia="Arial" w:hAnsi="Arial" w:cs="Arial"/>
          <w:sz w:val="23"/>
          <w:szCs w:val="23"/>
        </w:rPr>
        <w:t>A través de la enseñanza de la unidad curricular ciencia y tecnología se procura dar apertura al campo socio tecnológico cultural e integrar al alumno en este nuevo paradigma, en el que el educando naturalmente llega a investigar; a través del medio digital informático, pero cuya guía tutorial docente debe promover la comprensión de reglas del sistema socio técnico; la relación “Hombre-Producto-Producción Artesanal-Manufacturera”, y la relación sistémica de “Sistema SocioTecnico-Hombre-Maquina-Mecanización-Automatización-Taylorismo-Fordismo”. El promover y propiciar el análisis y deliberación sobre los lineamientos y efectos de estos paradigmas en nuestra sociedad, dará herramientas de entendimiento al educando, y su medio social en el que habita y se debe desarrollar, en el tránsito de ser un ciudadano adulto. Es por ellos que propiciar a través de esta unidad curricular ciencia y tecnología dos espacios muy importantes de participación en el medio “Tecnológico Cultural Social” como son los “Clubes De Ciencias” y “Las ferias de ciencias, arte, tecnología y sociedad” son el eje del propósito de participación de los alumnos.</w:t>
      </w:r>
    </w:p>
    <w:p w:rsidR="00F369C5" w:rsidRDefault="00F369C5" w:rsidP="00F369C5">
      <w:pPr>
        <w:spacing w:line="64" w:lineRule="exact"/>
        <w:rPr>
          <w:sz w:val="20"/>
          <w:szCs w:val="20"/>
        </w:rPr>
      </w:pPr>
    </w:p>
    <w:p w:rsidR="00F369C5" w:rsidRDefault="00F369C5" w:rsidP="00F369C5">
      <w:pPr>
        <w:ind w:left="260"/>
        <w:rPr>
          <w:sz w:val="20"/>
          <w:szCs w:val="20"/>
        </w:rPr>
      </w:pPr>
      <w:r>
        <w:rPr>
          <w:rFonts w:ascii="Arial" w:eastAsia="Arial" w:hAnsi="Arial" w:cs="Arial"/>
          <w:b/>
          <w:bCs/>
          <w:sz w:val="23"/>
          <w:szCs w:val="23"/>
        </w:rPr>
        <w:t>3.- Presentación de la unidad</w:t>
      </w:r>
    </w:p>
    <w:p w:rsidR="00F369C5" w:rsidRDefault="00F369C5" w:rsidP="00F369C5">
      <w:pPr>
        <w:spacing w:line="126" w:lineRule="exact"/>
        <w:rPr>
          <w:sz w:val="20"/>
          <w:szCs w:val="20"/>
        </w:rPr>
      </w:pPr>
    </w:p>
    <w:p w:rsidR="00F369C5" w:rsidRDefault="00F369C5" w:rsidP="00F369C5">
      <w:pPr>
        <w:spacing w:line="255" w:lineRule="auto"/>
        <w:ind w:left="260"/>
        <w:jc w:val="both"/>
        <w:rPr>
          <w:sz w:val="20"/>
          <w:szCs w:val="20"/>
        </w:rPr>
      </w:pPr>
      <w:r>
        <w:rPr>
          <w:rFonts w:ascii="Arial" w:eastAsia="Arial" w:hAnsi="Arial" w:cs="Arial"/>
          <w:sz w:val="21"/>
          <w:szCs w:val="21"/>
        </w:rPr>
        <w:t>En la unidad curricular “Ciencia y Tecnología”, Que es un recorte de conocimiento representativo del paradigma en que vivimos y centrado en lo “Socio Tecnológico Cultural” de este siglo; no podemos negar que hoy conviven dos paradigmas, el “Hombre-Producto-Producción Artesanal-Manufacturera” y el “Socio Tecnológico-Digitalizado-Robotizado-Tayloriano-Fordista”. Este recorte de conocimiento pretende incursionar al alumno en la ciencia y la tecnología de la modernidad. Que tenga idea clara de las visiones dominantes en nuestro tiempo, respecto de la ciencia, la tecnología, y la influencia que ejercen, en la sociedad, en la cultura, y los cambios de hábitos y costumbres de nuestras vidas ante el desmedido cambio permanente y progresivo. Se desarrolla así mismo, las instancias, de participación del alumno, en la participación del proceso de investigación de las nuevas tecnologías, y su uso a partir de una situación problemática, que el alumno detecta en el medio de vida cotidiano. Podemos decir que esta unidad curricular abre la puerta al alumno al medio científico tecnológico de nuestros días.</w:t>
      </w:r>
    </w:p>
    <w:p w:rsidR="00F369C5" w:rsidRDefault="00F369C5" w:rsidP="00F369C5">
      <w:pPr>
        <w:spacing w:line="53" w:lineRule="exact"/>
        <w:rPr>
          <w:sz w:val="20"/>
          <w:szCs w:val="20"/>
        </w:rPr>
      </w:pPr>
    </w:p>
    <w:p w:rsidR="00F369C5" w:rsidRDefault="00F369C5" w:rsidP="00F369C5">
      <w:pPr>
        <w:ind w:left="260"/>
        <w:rPr>
          <w:sz w:val="20"/>
          <w:szCs w:val="20"/>
        </w:rPr>
      </w:pPr>
      <w:r>
        <w:rPr>
          <w:rFonts w:ascii="Arial" w:eastAsia="Arial" w:hAnsi="Arial" w:cs="Arial"/>
          <w:b/>
          <w:bCs/>
          <w:sz w:val="23"/>
          <w:szCs w:val="23"/>
        </w:rPr>
        <w:t>4.- Contenidos</w:t>
      </w:r>
    </w:p>
    <w:p w:rsidR="00F369C5" w:rsidRDefault="00F369C5" w:rsidP="00F369C5">
      <w:pPr>
        <w:spacing w:line="126" w:lineRule="exact"/>
        <w:rPr>
          <w:sz w:val="20"/>
          <w:szCs w:val="20"/>
        </w:rPr>
      </w:pPr>
    </w:p>
    <w:p w:rsidR="00F369C5" w:rsidRDefault="00F369C5" w:rsidP="00F369C5">
      <w:pPr>
        <w:spacing w:line="262" w:lineRule="auto"/>
        <w:ind w:left="260" w:right="20"/>
        <w:jc w:val="both"/>
        <w:rPr>
          <w:sz w:val="20"/>
          <w:szCs w:val="20"/>
        </w:rPr>
      </w:pPr>
      <w:r>
        <w:rPr>
          <w:rFonts w:ascii="Arial" w:eastAsia="Arial" w:hAnsi="Arial" w:cs="Arial"/>
          <w:sz w:val="23"/>
          <w:szCs w:val="23"/>
        </w:rPr>
        <w:t>Para la organización de la enseñanza de esta unidad curricular se han organizado los contenidos de la siguiente forma:</w:t>
      </w:r>
    </w:p>
    <w:p w:rsidR="00F369C5" w:rsidRDefault="00F369C5" w:rsidP="00F369C5">
      <w:pPr>
        <w:spacing w:line="37" w:lineRule="exact"/>
        <w:rPr>
          <w:sz w:val="20"/>
          <w:szCs w:val="20"/>
        </w:rPr>
      </w:pPr>
    </w:p>
    <w:p w:rsidR="00F369C5" w:rsidRDefault="00F369C5" w:rsidP="00F369C5">
      <w:pPr>
        <w:ind w:left="260"/>
        <w:rPr>
          <w:sz w:val="20"/>
          <w:szCs w:val="20"/>
        </w:rPr>
      </w:pPr>
      <w:r>
        <w:rPr>
          <w:rFonts w:ascii="Arial" w:eastAsia="Arial" w:hAnsi="Arial" w:cs="Arial"/>
          <w:b/>
          <w:bCs/>
          <w:sz w:val="23"/>
          <w:szCs w:val="23"/>
        </w:rPr>
        <w:t>I- La ciencia y la tecnología en la modernidad.</w:t>
      </w:r>
    </w:p>
    <w:p w:rsidR="00F369C5" w:rsidRDefault="00F369C5" w:rsidP="00F369C5">
      <w:pPr>
        <w:spacing w:line="111" w:lineRule="exact"/>
        <w:rPr>
          <w:sz w:val="20"/>
          <w:szCs w:val="20"/>
        </w:rPr>
      </w:pPr>
    </w:p>
    <w:p w:rsidR="00F369C5" w:rsidRDefault="00F369C5" w:rsidP="00F369C5">
      <w:pPr>
        <w:ind w:left="260"/>
        <w:rPr>
          <w:sz w:val="20"/>
          <w:szCs w:val="20"/>
        </w:rPr>
      </w:pPr>
      <w:r>
        <w:rPr>
          <w:rFonts w:ascii="Arial" w:eastAsia="Arial" w:hAnsi="Arial" w:cs="Arial"/>
          <w:b/>
          <w:bCs/>
          <w:sz w:val="23"/>
          <w:szCs w:val="23"/>
        </w:rPr>
        <w:t>II- Clubes de Ciencia.</w:t>
      </w:r>
    </w:p>
    <w:p w:rsidR="00F369C5" w:rsidRDefault="00F369C5" w:rsidP="00F369C5">
      <w:pPr>
        <w:spacing w:line="111" w:lineRule="exact"/>
        <w:rPr>
          <w:sz w:val="20"/>
          <w:szCs w:val="20"/>
        </w:rPr>
      </w:pPr>
    </w:p>
    <w:p w:rsidR="00F369C5" w:rsidRDefault="00F369C5" w:rsidP="00F369C5">
      <w:pPr>
        <w:ind w:left="260"/>
        <w:rPr>
          <w:sz w:val="20"/>
          <w:szCs w:val="20"/>
        </w:rPr>
      </w:pPr>
      <w:r>
        <w:rPr>
          <w:rFonts w:ascii="Arial" w:eastAsia="Arial" w:hAnsi="Arial" w:cs="Arial"/>
          <w:b/>
          <w:bCs/>
          <w:color w:val="111111"/>
          <w:sz w:val="23"/>
          <w:szCs w:val="23"/>
        </w:rPr>
        <w:t>III- Feria de ciencias, arte, tecnología y sociedad.</w:t>
      </w:r>
    </w:p>
    <w:p w:rsidR="00F369C5" w:rsidRDefault="00F369C5" w:rsidP="00F369C5">
      <w:pPr>
        <w:spacing w:line="111" w:lineRule="exact"/>
        <w:rPr>
          <w:sz w:val="20"/>
          <w:szCs w:val="20"/>
        </w:rPr>
      </w:pPr>
    </w:p>
    <w:p w:rsidR="00F369C5" w:rsidRDefault="00F369C5" w:rsidP="00F369C5">
      <w:pPr>
        <w:spacing w:line="310" w:lineRule="auto"/>
        <w:ind w:left="260"/>
        <w:jc w:val="both"/>
        <w:rPr>
          <w:sz w:val="20"/>
          <w:szCs w:val="20"/>
        </w:rPr>
      </w:pPr>
      <w:r>
        <w:rPr>
          <w:rFonts w:ascii="Arial" w:eastAsia="Arial" w:hAnsi="Arial" w:cs="Arial"/>
          <w:b/>
          <w:bCs/>
          <w:color w:val="111111"/>
          <w:sz w:val="21"/>
          <w:szCs w:val="21"/>
        </w:rPr>
        <w:t xml:space="preserve">I- La Ciencia y la Tecnología en la Modernidad. </w:t>
      </w:r>
      <w:r>
        <w:rPr>
          <w:rFonts w:ascii="Arial" w:eastAsia="Arial" w:hAnsi="Arial" w:cs="Arial"/>
          <w:color w:val="111111"/>
          <w:sz w:val="21"/>
          <w:szCs w:val="21"/>
        </w:rPr>
        <w:t>Visiones dominantes de la ciencia en la</w:t>
      </w:r>
      <w:r>
        <w:rPr>
          <w:rFonts w:ascii="Arial" w:eastAsia="Arial" w:hAnsi="Arial" w:cs="Arial"/>
          <w:b/>
          <w:bCs/>
          <w:color w:val="111111"/>
          <w:sz w:val="21"/>
          <w:szCs w:val="21"/>
        </w:rPr>
        <w:t xml:space="preserve"> </w:t>
      </w:r>
      <w:r>
        <w:rPr>
          <w:rFonts w:ascii="Arial" w:eastAsia="Arial" w:hAnsi="Arial" w:cs="Arial"/>
          <w:color w:val="111111"/>
          <w:sz w:val="21"/>
          <w:szCs w:val="21"/>
        </w:rPr>
        <w:t>modernidad. Presupuestos sobre la naturaleza, el origen y el alcance del conocimiento.</w:t>
      </w:r>
    </w:p>
    <w:p w:rsidR="00F369C5" w:rsidRDefault="00F369C5" w:rsidP="00F369C5">
      <w:pPr>
        <w:sectPr w:rsidR="00F369C5">
          <w:pgSz w:w="11920" w:h="16845"/>
          <w:pgMar w:top="258" w:right="1290" w:bottom="1020" w:left="1440" w:header="0" w:footer="0" w:gutter="0"/>
          <w:cols w:space="720" w:equalWidth="0">
            <w:col w:w="9180"/>
          </w:cols>
        </w:sectPr>
      </w:pPr>
    </w:p>
    <w:p w:rsidR="00F369C5" w:rsidRDefault="00F369C5" w:rsidP="00F369C5">
      <w:pPr>
        <w:spacing w:line="232" w:lineRule="auto"/>
        <w:ind w:left="260"/>
        <w:jc w:val="both"/>
        <w:rPr>
          <w:sz w:val="20"/>
          <w:szCs w:val="20"/>
        </w:rPr>
      </w:pPr>
      <w:bookmarkStart w:id="1" w:name="page123"/>
      <w:bookmarkEnd w:id="1"/>
      <w:r>
        <w:rPr>
          <w:rFonts w:ascii="Arial" w:eastAsia="Arial" w:hAnsi="Arial" w:cs="Arial"/>
          <w:color w:val="111111"/>
          <w:sz w:val="23"/>
          <w:szCs w:val="23"/>
        </w:rPr>
        <w:lastRenderedPageBreak/>
        <w:t>Aspectos metodológicos. Ciencia y Tecnología. Finalidades. Objeto. Reglas de producción/reglas o normas de actuación. Relaciones y diferencias. Fases o etapas de desarrollo. Las perspectivas sobre el desarrollo de la ciencia y la tecnología: tendencias y límites. La perspectiva del determinismo tecnológico. La concepción centrada en la neutralidad y la autonomía tecnológica. El determinismo social como modelo explicativo del desarrollo tecnológico. Trabajo. Trabajo y cultura. Trabajo y naturaleza. Trabajo y proceso de hominización. El enfoque del sistema socio técnico en el contexto del sistema técnico. Componentes (procedimientos, soportes técnicos, conocimientos). Proceso de tecnificación. Delegación y control. División técnica y social del trabajo. Cambio técnico y continuidad. Los sistemas socio técnicos y los procesos de tecnificación. Sistema socio técnico hombre-producto: producción artesanal y manufacturas. Sistema socio técnico hombre-máquina: mecanización, taylorismo y fordismo. Sistema socio técnico máquina-producto: automatización.</w:t>
      </w:r>
    </w:p>
    <w:p w:rsidR="00F369C5" w:rsidRDefault="00F369C5" w:rsidP="00F369C5">
      <w:pPr>
        <w:spacing w:line="65" w:lineRule="exact"/>
        <w:rPr>
          <w:sz w:val="20"/>
          <w:szCs w:val="20"/>
        </w:rPr>
      </w:pPr>
    </w:p>
    <w:p w:rsidR="00F369C5" w:rsidRDefault="00F369C5" w:rsidP="00F369C5">
      <w:pPr>
        <w:ind w:left="260"/>
        <w:rPr>
          <w:sz w:val="20"/>
          <w:szCs w:val="20"/>
        </w:rPr>
      </w:pPr>
      <w:r>
        <w:rPr>
          <w:rFonts w:ascii="Arial" w:eastAsia="Arial" w:hAnsi="Arial" w:cs="Arial"/>
          <w:b/>
          <w:bCs/>
          <w:color w:val="111111"/>
          <w:sz w:val="23"/>
          <w:szCs w:val="23"/>
        </w:rPr>
        <w:t>Alcances y comentarios</w:t>
      </w:r>
    </w:p>
    <w:p w:rsidR="00F369C5" w:rsidRDefault="00F369C5" w:rsidP="00F369C5">
      <w:pPr>
        <w:spacing w:line="111" w:lineRule="exact"/>
        <w:rPr>
          <w:sz w:val="20"/>
          <w:szCs w:val="20"/>
        </w:rPr>
      </w:pPr>
    </w:p>
    <w:p w:rsidR="00F369C5" w:rsidRDefault="00F369C5" w:rsidP="00F369C5">
      <w:pPr>
        <w:spacing w:line="235" w:lineRule="auto"/>
        <w:ind w:left="260"/>
        <w:jc w:val="both"/>
        <w:rPr>
          <w:sz w:val="20"/>
          <w:szCs w:val="20"/>
        </w:rPr>
      </w:pPr>
      <w:r>
        <w:rPr>
          <w:rFonts w:ascii="Arial" w:eastAsia="Arial" w:hAnsi="Arial" w:cs="Arial"/>
          <w:b/>
          <w:bCs/>
          <w:color w:val="111111"/>
          <w:sz w:val="23"/>
          <w:szCs w:val="23"/>
        </w:rPr>
        <w:t xml:space="preserve">I- </w:t>
      </w:r>
      <w:r>
        <w:rPr>
          <w:rFonts w:ascii="Arial" w:eastAsia="Arial" w:hAnsi="Arial" w:cs="Arial"/>
          <w:color w:val="111111"/>
          <w:sz w:val="23"/>
          <w:szCs w:val="23"/>
        </w:rPr>
        <w:t>Se considera conveniente abordar las visiones dominantes, sus orígenes, naturaleza,</w:t>
      </w:r>
      <w:r>
        <w:rPr>
          <w:rFonts w:ascii="Arial" w:eastAsia="Arial" w:hAnsi="Arial" w:cs="Arial"/>
          <w:b/>
          <w:bCs/>
          <w:color w:val="111111"/>
          <w:sz w:val="23"/>
          <w:szCs w:val="23"/>
        </w:rPr>
        <w:t xml:space="preserve"> </w:t>
      </w:r>
      <w:r>
        <w:rPr>
          <w:rFonts w:ascii="Arial" w:eastAsia="Arial" w:hAnsi="Arial" w:cs="Arial"/>
          <w:color w:val="111111"/>
          <w:sz w:val="23"/>
          <w:szCs w:val="23"/>
        </w:rPr>
        <w:t>finalidad, y las reglas y cambios de normas. Su desarrollo tecnológico en el tiempo, el trabajo y la cultura. Abordar la línea histórica de un proceso histórico vivo. Los procesos de tecnificación. Los procesos de sistema Socio Técnico y las consecuencias Socioculturales y los cambios de hábito y costumbres culturales de nuestra sociedad. Realizar la presentación de ciencia y tecnología como eje del progreso y del cambio, del desarrollo. Abordaje del proceso “Hombre-Herramiento-Maquina-Ciencia-Tecnologia-Cultura-Sociedad”, Etc; A través de una línea de tiempo histórico que permita visualizar los cambios, las eras y la aceleración de los mismos.</w:t>
      </w:r>
    </w:p>
    <w:p w:rsidR="00F369C5" w:rsidRDefault="00F369C5" w:rsidP="00F369C5">
      <w:pPr>
        <w:spacing w:line="69" w:lineRule="exact"/>
        <w:rPr>
          <w:sz w:val="20"/>
          <w:szCs w:val="20"/>
        </w:rPr>
      </w:pPr>
    </w:p>
    <w:p w:rsidR="00F369C5" w:rsidRDefault="00F369C5" w:rsidP="00F369C5">
      <w:pPr>
        <w:ind w:left="260"/>
        <w:rPr>
          <w:sz w:val="20"/>
          <w:szCs w:val="20"/>
        </w:rPr>
      </w:pPr>
      <w:r>
        <w:rPr>
          <w:rFonts w:ascii="Arial" w:eastAsia="Arial" w:hAnsi="Arial" w:cs="Arial"/>
          <w:b/>
          <w:bCs/>
          <w:color w:val="111111"/>
          <w:sz w:val="23"/>
          <w:szCs w:val="23"/>
        </w:rPr>
        <w:t>Contenidos</w:t>
      </w:r>
    </w:p>
    <w:p w:rsidR="00F369C5" w:rsidRDefault="00F369C5" w:rsidP="00F369C5">
      <w:pPr>
        <w:spacing w:line="111" w:lineRule="exact"/>
        <w:rPr>
          <w:sz w:val="20"/>
          <w:szCs w:val="20"/>
        </w:rPr>
      </w:pPr>
    </w:p>
    <w:p w:rsidR="00F369C5" w:rsidRDefault="00F369C5" w:rsidP="00F369C5">
      <w:pPr>
        <w:spacing w:line="256" w:lineRule="auto"/>
        <w:ind w:left="260"/>
        <w:jc w:val="both"/>
        <w:rPr>
          <w:sz w:val="20"/>
          <w:szCs w:val="20"/>
        </w:rPr>
      </w:pPr>
      <w:r>
        <w:rPr>
          <w:rFonts w:ascii="Arial" w:eastAsia="Arial" w:hAnsi="Arial" w:cs="Arial"/>
          <w:b/>
          <w:bCs/>
          <w:color w:val="111111"/>
          <w:sz w:val="21"/>
          <w:szCs w:val="21"/>
        </w:rPr>
        <w:t xml:space="preserve">II- Clubes de ciencias y tecnología: </w:t>
      </w:r>
      <w:r>
        <w:rPr>
          <w:rFonts w:ascii="Arial" w:eastAsia="Arial" w:hAnsi="Arial" w:cs="Arial"/>
          <w:color w:val="111111"/>
          <w:sz w:val="21"/>
          <w:szCs w:val="21"/>
        </w:rPr>
        <w:t>concepto. Inicio. Constitución. Organización.</w:t>
      </w:r>
      <w:r>
        <w:rPr>
          <w:rFonts w:ascii="Arial" w:eastAsia="Arial" w:hAnsi="Arial" w:cs="Arial"/>
          <w:b/>
          <w:bCs/>
          <w:color w:val="111111"/>
          <w:sz w:val="21"/>
          <w:szCs w:val="21"/>
        </w:rPr>
        <w:t xml:space="preserve"> </w:t>
      </w:r>
      <w:r>
        <w:rPr>
          <w:rFonts w:ascii="Arial" w:eastAsia="Arial" w:hAnsi="Arial" w:cs="Arial"/>
          <w:color w:val="111111"/>
          <w:sz w:val="21"/>
          <w:szCs w:val="21"/>
        </w:rPr>
        <w:t>Reglamento. Funcionamiento. Financiamiento. Clasificación de los clubes en categorías según el nivel educativo de sus integrantes y en áreas de acuerdo a los temas y objetivos de investigación. Registro de clubes de ciencias. Patentes y derechos de propiedad intelectual. Lineamientos de políticas científicas, tecnológicas, educativas y de innovación de carácter nacional, regional/provincial y municipal que sean puntales estratégicos del desarrollo del país. Metodología de interacción. Renovación del proceso de enseñanza de las ciencias y de la tecnología. Modalidad de trabajo. Aplicaciones. Despertar vocacional en niños y jóvenes para que el conocimiento sea un factor de inclusión y crecimiento nacional. Importancia en el pensamiento y en la mejora de la calidad de vida actual y futura. Producción de estrategias metodológicas que, al ser socializadas, tanto en contenidos como en enfoques metodológicos, contribuyen en el proceso de enseñanza de las ciencias y de la tecnología. Vinculación del joven investigador con la comunidad científica y el sector productivo optimizando los recursos humanos del país y de la región, de la realidad circundante y de su porvenir. Impulso de la cultura emprendedora e innovadora, generadora de bienes y servicios con alto valor agregado, motor de competitividad y de respuesta a problemáticas sociales. Ferias y campamentos científicos.</w:t>
      </w:r>
    </w:p>
    <w:p w:rsidR="00F369C5" w:rsidRDefault="00F369C5" w:rsidP="00F369C5">
      <w:pPr>
        <w:spacing w:line="30" w:lineRule="exact"/>
        <w:rPr>
          <w:sz w:val="20"/>
          <w:szCs w:val="20"/>
        </w:rPr>
      </w:pPr>
    </w:p>
    <w:p w:rsidR="00F369C5" w:rsidRDefault="00F369C5" w:rsidP="00F369C5">
      <w:pPr>
        <w:ind w:left="260"/>
        <w:rPr>
          <w:sz w:val="20"/>
          <w:szCs w:val="20"/>
        </w:rPr>
      </w:pPr>
      <w:r>
        <w:rPr>
          <w:rFonts w:ascii="Arial" w:eastAsia="Arial" w:hAnsi="Arial" w:cs="Arial"/>
          <w:b/>
          <w:bCs/>
          <w:color w:val="111111"/>
          <w:sz w:val="23"/>
          <w:szCs w:val="23"/>
        </w:rPr>
        <w:t>Alcances y comentarios</w:t>
      </w:r>
    </w:p>
    <w:p w:rsidR="00F369C5" w:rsidRDefault="00F369C5" w:rsidP="00F369C5">
      <w:pPr>
        <w:spacing w:line="111" w:lineRule="exact"/>
        <w:rPr>
          <w:sz w:val="20"/>
          <w:szCs w:val="20"/>
        </w:rPr>
      </w:pPr>
    </w:p>
    <w:p w:rsidR="00F369C5" w:rsidRDefault="00F369C5" w:rsidP="003307EB">
      <w:pPr>
        <w:spacing w:line="289" w:lineRule="auto"/>
        <w:ind w:left="260"/>
        <w:jc w:val="both"/>
        <w:rPr>
          <w:sz w:val="20"/>
          <w:szCs w:val="20"/>
        </w:rPr>
      </w:pPr>
      <w:r>
        <w:rPr>
          <w:rFonts w:ascii="Arial" w:eastAsia="Arial" w:hAnsi="Arial" w:cs="Arial"/>
          <w:b/>
          <w:bCs/>
          <w:color w:val="111111"/>
          <w:sz w:val="21"/>
          <w:szCs w:val="21"/>
        </w:rPr>
        <w:t xml:space="preserve">II- </w:t>
      </w:r>
      <w:r>
        <w:rPr>
          <w:rFonts w:ascii="Arial" w:eastAsia="Arial" w:hAnsi="Arial" w:cs="Arial"/>
          <w:color w:val="111111"/>
          <w:sz w:val="21"/>
          <w:szCs w:val="21"/>
        </w:rPr>
        <w:t>Se considera conveniente abordar la historia desde su creación, las normas, las reglas,</w:t>
      </w:r>
      <w:r>
        <w:rPr>
          <w:rFonts w:ascii="Arial" w:eastAsia="Arial" w:hAnsi="Arial" w:cs="Arial"/>
          <w:b/>
          <w:bCs/>
          <w:color w:val="111111"/>
          <w:sz w:val="21"/>
          <w:szCs w:val="21"/>
        </w:rPr>
        <w:t xml:space="preserve"> </w:t>
      </w:r>
      <w:r>
        <w:rPr>
          <w:rFonts w:ascii="Arial" w:eastAsia="Arial" w:hAnsi="Arial" w:cs="Arial"/>
          <w:color w:val="111111"/>
          <w:sz w:val="21"/>
          <w:szCs w:val="21"/>
        </w:rPr>
        <w:t>el registro de patentes, y la metodología de su vida en los clubes de ciencia desde la creación hasta nuestros días. El proceso de avance y metodologías de la enseñanza de las</w:t>
      </w:r>
      <w:bookmarkStart w:id="2" w:name="page124"/>
      <w:bookmarkEnd w:id="2"/>
      <w:r w:rsidR="003307EB">
        <w:rPr>
          <w:sz w:val="20"/>
          <w:szCs w:val="20"/>
        </w:rPr>
        <w:t xml:space="preserve"> </w:t>
      </w:r>
      <w:r>
        <w:rPr>
          <w:rFonts w:ascii="Arial" w:eastAsia="Arial" w:hAnsi="Arial" w:cs="Arial"/>
          <w:color w:val="111111"/>
          <w:sz w:val="21"/>
          <w:szCs w:val="21"/>
        </w:rPr>
        <w:t>ciencias y la tecnología asociadas al investigador, integrar al alumno como investigador, en el carácter de joven, dentro del medio Socio Productivo de la región donde habita.</w:t>
      </w:r>
    </w:p>
    <w:p w:rsidR="00F369C5" w:rsidRDefault="00F369C5" w:rsidP="00F369C5">
      <w:pPr>
        <w:ind w:left="260"/>
        <w:rPr>
          <w:sz w:val="20"/>
          <w:szCs w:val="20"/>
        </w:rPr>
      </w:pPr>
      <w:r>
        <w:rPr>
          <w:rFonts w:ascii="Arial" w:eastAsia="Arial" w:hAnsi="Arial" w:cs="Arial"/>
          <w:b/>
          <w:bCs/>
          <w:color w:val="111111"/>
          <w:sz w:val="23"/>
          <w:szCs w:val="23"/>
        </w:rPr>
        <w:lastRenderedPageBreak/>
        <w:t>Contenidos</w:t>
      </w:r>
    </w:p>
    <w:p w:rsidR="00F369C5" w:rsidRDefault="00F369C5" w:rsidP="00F369C5">
      <w:pPr>
        <w:spacing w:line="111" w:lineRule="exact"/>
        <w:rPr>
          <w:sz w:val="20"/>
          <w:szCs w:val="20"/>
        </w:rPr>
      </w:pPr>
    </w:p>
    <w:p w:rsidR="00F369C5" w:rsidRDefault="00F369C5" w:rsidP="00F369C5">
      <w:pPr>
        <w:spacing w:line="252" w:lineRule="auto"/>
        <w:ind w:left="260"/>
        <w:jc w:val="both"/>
        <w:rPr>
          <w:sz w:val="20"/>
          <w:szCs w:val="20"/>
        </w:rPr>
      </w:pPr>
      <w:r>
        <w:rPr>
          <w:rFonts w:ascii="Arial" w:eastAsia="Arial" w:hAnsi="Arial" w:cs="Arial"/>
          <w:b/>
          <w:bCs/>
          <w:color w:val="111111"/>
          <w:sz w:val="21"/>
          <w:szCs w:val="21"/>
        </w:rPr>
        <w:t xml:space="preserve">III- Feria de ciencias, arte, tecnología y sociedad: </w:t>
      </w:r>
      <w:r>
        <w:rPr>
          <w:rFonts w:ascii="Arial" w:eastAsia="Arial" w:hAnsi="Arial" w:cs="Arial"/>
          <w:color w:val="111111"/>
          <w:sz w:val="21"/>
          <w:szCs w:val="21"/>
        </w:rPr>
        <w:t>Concepto. Categorización de las</w:t>
      </w:r>
      <w:r>
        <w:rPr>
          <w:rFonts w:ascii="Arial" w:eastAsia="Arial" w:hAnsi="Arial" w:cs="Arial"/>
          <w:b/>
          <w:bCs/>
          <w:color w:val="111111"/>
          <w:sz w:val="21"/>
          <w:szCs w:val="21"/>
        </w:rPr>
        <w:t xml:space="preserve"> </w:t>
      </w:r>
      <w:r>
        <w:rPr>
          <w:rFonts w:ascii="Arial" w:eastAsia="Arial" w:hAnsi="Arial" w:cs="Arial"/>
          <w:color w:val="111111"/>
          <w:sz w:val="21"/>
          <w:szCs w:val="21"/>
        </w:rPr>
        <w:t>ferias en virtud del nivel/modalidad de educación de sus integrantes y en áreas, según los temas y objetivos de investigación desarrollada. Distintas instancias de feria: zonal, regional, provincial, nacional, internacional. Metodologías de investigación/proceso, según áreas de proyectos: Educación tecnológica y técnica: Proyectos relacionados con la innovación, Proyectos relacionados con Problemas socio técnicos, Proyectos relacionados con la historia de la tecnología, Metodología de investigación: Problema. Alternativas de solución. Diseño. Planificación y ejecución o materialización. Ciencias Naturales: Trabajos de indagación escolar. Proceso: Identificación de la pregunta/problema. Formulación de hipótesis. Obtención de datos. Tratamiento y análisis de datos. Conclusiones, Proyectos relacionados con la historia de las ciencias naturales. Proceso: indagación sobre los cambios que experimentan las disciplinas a través del tiempo. Investigación sobre el contexto. Conclusiones. Matemática: Proyectos relacionados con el uso de la Matemática en otras áreas del conocimiento. Metodología: Problema. Pertinencia y análisis. Modelos usados en el análisis. Procedimiento y nociones matemáticas involucradas. Solución del problema Conclusiones, Proyectos relacionados con problemas matemáticos. Proceso: problema. Formulación de hipótesis. Obtención, tratamiento y análisis de datos. Nociones matemáticas involucradas. Generalización del problema, de propiedades y de resultados. Conclusiones, Proyectos relacionados con la historia de la Matemática. Proceso: Indagación sobre los cambios y la evolución que experimentó la matemática en el tiempo. Reconstrucción de la trayectoria a través de la cual se fue constituyendo una noción en diferentes épocas. Investigación sobre el contexto. Reconocimiento de la relación entre los problemas que se presentan y la solución que se obtiene en función de las herramientas matemáticas disponibles. Análisis y control de resultados. Conclusiones. Arte y ciencia: Proceso: Selección, análisis e interpretación del problema elegido. Objetivos. Búsqueda y sistematización de la información. Significatividad y contextualidad de la propuesta. Relación del área artística con otras en la producción de la propuesta. Incorporación y aprovechamiento de los recursos tecnológicos en la propuesta artística durante las etapas de composición, producción y exhibición del trabajo. Interrelación entre áreas. Vinculación del tema, proceso y resolución artística con el contexto. Presencia de la temática en el universo cultural. Aportes de arte en el problema en cuestión. Conclusiones. Ciencias sociales: Metodologías de investigación: Identificación y formulación del problema. Estado de la cuestión y formulación de hipótesis. Búsqueda y sistematización de la información. Análisis e interpretación. Articulación con hechos y teoría. Pertinencia de la argumentación y conclusiones. Recomendaciones generales y citas de fuentes de información, bibliografía, libros, monografías, revistas, ponencias, revistas electrónicas. Recursos de Internet. Presentación en ferias: Informe. Resumen digital. Carpeta de campo. Registro pedagógico. Stand. Exposición. Evaluación y autoevaluación. Criterios de evaluación según modalidad de educación y área de investigación.</w:t>
      </w:r>
    </w:p>
    <w:p w:rsidR="00F369C5" w:rsidRDefault="00F369C5" w:rsidP="00F369C5">
      <w:pPr>
        <w:spacing w:line="338" w:lineRule="exact"/>
        <w:rPr>
          <w:sz w:val="20"/>
          <w:szCs w:val="20"/>
        </w:rPr>
      </w:pPr>
    </w:p>
    <w:p w:rsidR="00F369C5" w:rsidRDefault="00F369C5" w:rsidP="00F369C5">
      <w:pPr>
        <w:ind w:left="260"/>
        <w:rPr>
          <w:sz w:val="20"/>
          <w:szCs w:val="20"/>
        </w:rPr>
      </w:pPr>
      <w:r>
        <w:rPr>
          <w:rFonts w:ascii="Arial" w:eastAsia="Arial" w:hAnsi="Arial" w:cs="Arial"/>
          <w:b/>
          <w:bCs/>
          <w:color w:val="111111"/>
          <w:sz w:val="23"/>
          <w:szCs w:val="23"/>
        </w:rPr>
        <w:t>Alcances y comentarios</w:t>
      </w:r>
    </w:p>
    <w:p w:rsidR="00F369C5" w:rsidRDefault="00F369C5" w:rsidP="00F369C5">
      <w:pPr>
        <w:spacing w:line="111" w:lineRule="exact"/>
        <w:rPr>
          <w:sz w:val="20"/>
          <w:szCs w:val="20"/>
        </w:rPr>
      </w:pPr>
    </w:p>
    <w:p w:rsidR="00F369C5" w:rsidRDefault="00F369C5" w:rsidP="003307EB">
      <w:pPr>
        <w:spacing w:line="289" w:lineRule="auto"/>
        <w:ind w:left="260"/>
        <w:jc w:val="both"/>
        <w:rPr>
          <w:sz w:val="20"/>
          <w:szCs w:val="20"/>
        </w:rPr>
      </w:pPr>
      <w:r>
        <w:rPr>
          <w:rFonts w:ascii="Arial" w:eastAsia="Arial" w:hAnsi="Arial" w:cs="Arial"/>
          <w:b/>
          <w:bCs/>
          <w:color w:val="111111"/>
          <w:sz w:val="21"/>
          <w:szCs w:val="21"/>
        </w:rPr>
        <w:t xml:space="preserve">III- </w:t>
      </w:r>
      <w:r>
        <w:rPr>
          <w:rFonts w:ascii="Arial" w:eastAsia="Arial" w:hAnsi="Arial" w:cs="Arial"/>
          <w:color w:val="111111"/>
          <w:sz w:val="21"/>
          <w:szCs w:val="21"/>
        </w:rPr>
        <w:t>Se considera el abordaje de los procesos metodológicos de investigación y</w:t>
      </w:r>
      <w:r>
        <w:rPr>
          <w:rFonts w:ascii="Arial" w:eastAsia="Arial" w:hAnsi="Arial" w:cs="Arial"/>
          <w:b/>
          <w:bCs/>
          <w:color w:val="111111"/>
          <w:sz w:val="21"/>
          <w:szCs w:val="21"/>
        </w:rPr>
        <w:t xml:space="preserve"> </w:t>
      </w:r>
      <w:r>
        <w:rPr>
          <w:rFonts w:ascii="Arial" w:eastAsia="Arial" w:hAnsi="Arial" w:cs="Arial"/>
          <w:color w:val="111111"/>
          <w:sz w:val="21"/>
          <w:szCs w:val="21"/>
        </w:rPr>
        <w:t>participación. A través de la metodología de la investigación con conocimientos de reglas y normas explicitas en implícitas, de la disciplina propia del metie. La situación problemática,</w:t>
      </w:r>
      <w:bookmarkStart w:id="3" w:name="page125"/>
      <w:bookmarkEnd w:id="3"/>
      <w:r w:rsidR="003307EB">
        <w:rPr>
          <w:sz w:val="20"/>
          <w:szCs w:val="20"/>
        </w:rPr>
        <w:t xml:space="preserve"> </w:t>
      </w:r>
      <w:bookmarkStart w:id="4" w:name="_GoBack"/>
      <w:bookmarkEnd w:id="4"/>
      <w:r>
        <w:rPr>
          <w:rFonts w:ascii="Arial" w:eastAsia="Arial" w:hAnsi="Arial" w:cs="Arial"/>
          <w:color w:val="111111"/>
          <w:sz w:val="23"/>
          <w:szCs w:val="23"/>
        </w:rPr>
        <w:t xml:space="preserve">la hipótesis, la investigación como proceso y las reglas de su desarrollo; el documento y el producto obtenido y su aprovechamiento. Abordar el hito de la ciencia y la tecnología en la conservación y cuidado medio ambiental. La bibliografía y la investigación metodológica, importancia y participación del alumno en la tarea, para poder formular y argumentar. Los desarrollos de informes, los stands, la competencia, la carpeta de campo, los informes, y la </w:t>
      </w:r>
      <w:r>
        <w:rPr>
          <w:rFonts w:ascii="Arial" w:eastAsia="Arial" w:hAnsi="Arial" w:cs="Arial"/>
          <w:color w:val="111111"/>
          <w:sz w:val="23"/>
          <w:szCs w:val="23"/>
        </w:rPr>
        <w:lastRenderedPageBreak/>
        <w:t>importancia de ser evaluado y tener devolución clara y precisa para poder seguir avanzando.</w:t>
      </w:r>
    </w:p>
    <w:p w:rsidR="00F369C5" w:rsidRDefault="00F369C5" w:rsidP="00F369C5">
      <w:pPr>
        <w:spacing w:line="61" w:lineRule="exact"/>
        <w:rPr>
          <w:sz w:val="20"/>
          <w:szCs w:val="20"/>
        </w:rPr>
      </w:pPr>
    </w:p>
    <w:p w:rsidR="00F369C5" w:rsidRDefault="00F369C5" w:rsidP="00F369C5">
      <w:pPr>
        <w:ind w:left="260"/>
        <w:rPr>
          <w:sz w:val="20"/>
          <w:szCs w:val="20"/>
        </w:rPr>
      </w:pPr>
      <w:r>
        <w:rPr>
          <w:rFonts w:ascii="Arial" w:eastAsia="Arial" w:hAnsi="Arial" w:cs="Arial"/>
          <w:b/>
          <w:bCs/>
          <w:sz w:val="23"/>
          <w:szCs w:val="23"/>
        </w:rPr>
        <w:t>5.- Objetivos</w:t>
      </w:r>
    </w:p>
    <w:p w:rsidR="00F369C5" w:rsidRDefault="00F369C5" w:rsidP="00F369C5">
      <w:pPr>
        <w:spacing w:line="126" w:lineRule="exact"/>
        <w:rPr>
          <w:sz w:val="20"/>
          <w:szCs w:val="20"/>
        </w:rPr>
      </w:pPr>
    </w:p>
    <w:p w:rsidR="00F369C5" w:rsidRDefault="00F369C5" w:rsidP="00F369C5">
      <w:pPr>
        <w:spacing w:line="234" w:lineRule="auto"/>
        <w:ind w:left="260" w:right="20"/>
        <w:jc w:val="both"/>
        <w:rPr>
          <w:sz w:val="20"/>
          <w:szCs w:val="20"/>
        </w:rPr>
      </w:pPr>
      <w:r>
        <w:rPr>
          <w:rFonts w:ascii="Arial" w:eastAsia="Arial" w:hAnsi="Arial" w:cs="Arial"/>
          <w:sz w:val="23"/>
          <w:szCs w:val="23"/>
        </w:rPr>
        <w:t>Que los alumnos integren al mundo de la ciencia y la tecnología, y que el mundo digital informático deje de ser un juego, para pasar a ser una herramienta de investigación, de las necesidades y problemas cotidianos de nuestra sociedad, su investigación bajo parámetros científicos fortifique el espiral de conocimiento de las ciencias, afianzando en las escuelas técnicas, el espiral de conocimiento de las tecnologías duras por un lado, a través de la integración de la matemática, la física, la química, la biología, y representación grafica, enmarcados en la ciencia y la tecnología; y por otro lado el arte, la plástica, el diseño, integrando la historia, la filosofía, la sociología, en el eje humanista del “Arte”; y que ambos se conjugan en nuestra sociedad de la modernidad.</w:t>
      </w:r>
    </w:p>
    <w:p w:rsidR="00F369C5" w:rsidRDefault="00F369C5" w:rsidP="00F369C5">
      <w:pPr>
        <w:spacing w:line="153" w:lineRule="exact"/>
        <w:rPr>
          <w:sz w:val="20"/>
          <w:szCs w:val="20"/>
        </w:rPr>
      </w:pPr>
    </w:p>
    <w:p w:rsidR="00F369C5" w:rsidRDefault="00F369C5" w:rsidP="00F369C5">
      <w:pPr>
        <w:ind w:left="260"/>
        <w:rPr>
          <w:sz w:val="20"/>
          <w:szCs w:val="20"/>
        </w:rPr>
      </w:pPr>
      <w:r>
        <w:rPr>
          <w:rFonts w:ascii="Arial" w:eastAsia="Arial" w:hAnsi="Arial" w:cs="Arial"/>
          <w:b/>
          <w:bCs/>
          <w:color w:val="00000A"/>
          <w:sz w:val="23"/>
          <w:szCs w:val="23"/>
        </w:rPr>
        <w:t>6.-Entorno de Aprendizaje y Recursos Didácticos</w:t>
      </w:r>
    </w:p>
    <w:p w:rsidR="00F369C5" w:rsidRDefault="00F369C5" w:rsidP="00F369C5">
      <w:pPr>
        <w:spacing w:line="366" w:lineRule="exact"/>
        <w:rPr>
          <w:sz w:val="20"/>
          <w:szCs w:val="20"/>
        </w:rPr>
      </w:pPr>
    </w:p>
    <w:p w:rsidR="00F369C5" w:rsidRDefault="00F369C5" w:rsidP="00F369C5">
      <w:pPr>
        <w:spacing w:line="236" w:lineRule="auto"/>
        <w:ind w:left="260" w:right="20"/>
        <w:jc w:val="both"/>
        <w:rPr>
          <w:sz w:val="20"/>
          <w:szCs w:val="20"/>
        </w:rPr>
      </w:pPr>
      <w:r>
        <w:rPr>
          <w:rFonts w:ascii="Arial" w:eastAsia="Arial" w:hAnsi="Arial" w:cs="Arial"/>
          <w:sz w:val="23"/>
          <w:szCs w:val="23"/>
        </w:rPr>
        <w:t>Puesto que se trata de un área con gran manipulación de recursos, los mismos deben ser integrados, participando la biblioteca, el laboratorio, el taller, los medios de investigación informáticos, el aula, y el tiempo extra escolar, los que se practican mediante proyectos especiales; autorizados por las autoridades competentes de la escuela o ámbito donde se desarrollaran.</w:t>
      </w:r>
    </w:p>
    <w:p w:rsidR="00F369C5" w:rsidRDefault="00F369C5" w:rsidP="00F369C5">
      <w:pPr>
        <w:spacing w:line="154" w:lineRule="exact"/>
        <w:rPr>
          <w:sz w:val="20"/>
          <w:szCs w:val="20"/>
        </w:rPr>
      </w:pPr>
    </w:p>
    <w:p w:rsidR="00F369C5" w:rsidRDefault="00F369C5" w:rsidP="00F369C5">
      <w:pPr>
        <w:ind w:left="260"/>
        <w:rPr>
          <w:sz w:val="20"/>
          <w:szCs w:val="20"/>
        </w:rPr>
      </w:pPr>
      <w:r>
        <w:rPr>
          <w:rFonts w:ascii="Arial" w:eastAsia="Arial" w:hAnsi="Arial" w:cs="Arial"/>
          <w:b/>
          <w:bCs/>
          <w:color w:val="00000A"/>
          <w:sz w:val="23"/>
          <w:szCs w:val="23"/>
        </w:rPr>
        <w:t>7.- Ejercitación, trabajos Prácticos y actividades</w:t>
      </w:r>
    </w:p>
    <w:p w:rsidR="00F369C5" w:rsidRDefault="00F369C5" w:rsidP="00F369C5">
      <w:pPr>
        <w:spacing w:line="366" w:lineRule="exact"/>
        <w:rPr>
          <w:sz w:val="20"/>
          <w:szCs w:val="20"/>
        </w:rPr>
      </w:pPr>
    </w:p>
    <w:p w:rsidR="00F369C5" w:rsidRDefault="00F369C5" w:rsidP="00F369C5">
      <w:pPr>
        <w:spacing w:line="260" w:lineRule="auto"/>
        <w:ind w:left="260" w:right="20"/>
        <w:jc w:val="both"/>
        <w:rPr>
          <w:sz w:val="20"/>
          <w:szCs w:val="20"/>
        </w:rPr>
      </w:pPr>
      <w:r>
        <w:rPr>
          <w:rFonts w:ascii="Arial" w:eastAsia="Arial" w:hAnsi="Arial" w:cs="Arial"/>
          <w:sz w:val="21"/>
          <w:szCs w:val="21"/>
        </w:rPr>
        <w:t>Los mismos se realizaran de acuerdo al proyecto enunciado, vinculado a una premisa a investigar u objeto a realizar; la guía de actividades y el cuaderno de campo marcaran su derrotero y su desarrollo hasta llegar al informe correspondiente. Por lo general las actividades integran los tiempos muertos y requieren un proyecto institucional avalado para su desarrollo. Los mismos deben ser motivadores y contagiosos y deben permitir la interrelación disciplinar y edilicia en el establecimiento, tratando la participación del todo el curso en el proyecto, y no siendo ajeno a la comunidad educativa.</w:t>
      </w:r>
    </w:p>
    <w:p w:rsidR="00F369C5" w:rsidRDefault="00F369C5" w:rsidP="00F369C5">
      <w:pPr>
        <w:spacing w:line="108" w:lineRule="exact"/>
        <w:rPr>
          <w:sz w:val="20"/>
          <w:szCs w:val="20"/>
        </w:rPr>
      </w:pPr>
    </w:p>
    <w:p w:rsidR="00F369C5" w:rsidRDefault="00F369C5" w:rsidP="00F369C5">
      <w:pPr>
        <w:ind w:left="260"/>
        <w:rPr>
          <w:sz w:val="20"/>
          <w:szCs w:val="20"/>
        </w:rPr>
      </w:pPr>
      <w:r>
        <w:rPr>
          <w:rFonts w:ascii="Arial" w:eastAsia="Arial" w:hAnsi="Arial" w:cs="Arial"/>
          <w:b/>
          <w:bCs/>
          <w:color w:val="00000A"/>
          <w:sz w:val="23"/>
          <w:szCs w:val="23"/>
        </w:rPr>
        <w:t>8.-Evaluación</w:t>
      </w:r>
    </w:p>
    <w:p w:rsidR="00F369C5" w:rsidRDefault="00F369C5" w:rsidP="00F369C5">
      <w:pPr>
        <w:spacing w:line="242" w:lineRule="auto"/>
        <w:ind w:left="260"/>
        <w:jc w:val="both"/>
        <w:rPr>
          <w:sz w:val="20"/>
          <w:szCs w:val="20"/>
        </w:rPr>
      </w:pPr>
      <w:r>
        <w:rPr>
          <w:rFonts w:ascii="Arial" w:eastAsia="Arial" w:hAnsi="Arial" w:cs="Arial"/>
          <w:sz w:val="23"/>
          <w:szCs w:val="23"/>
        </w:rPr>
        <w:t xml:space="preserve">Se sugiere una evaluación: </w:t>
      </w:r>
      <w:r>
        <w:rPr>
          <w:rFonts w:ascii="Arial" w:eastAsia="Arial" w:hAnsi="Arial" w:cs="Arial"/>
          <w:b/>
          <w:bCs/>
          <w:sz w:val="23"/>
          <w:szCs w:val="23"/>
        </w:rPr>
        <w:t>Formativa</w:t>
      </w:r>
      <w:r>
        <w:rPr>
          <w:rFonts w:ascii="Arial" w:eastAsia="Arial" w:hAnsi="Arial" w:cs="Arial"/>
          <w:sz w:val="23"/>
          <w:szCs w:val="23"/>
        </w:rPr>
        <w:t xml:space="preserve">: que ayude al proceso de aprendizaje. </w:t>
      </w:r>
      <w:r>
        <w:rPr>
          <w:rFonts w:ascii="Arial" w:eastAsia="Arial" w:hAnsi="Arial" w:cs="Arial"/>
          <w:b/>
          <w:bCs/>
          <w:sz w:val="23"/>
          <w:szCs w:val="23"/>
        </w:rPr>
        <w:t>Continua y</w:t>
      </w:r>
      <w:r>
        <w:rPr>
          <w:rFonts w:ascii="Arial" w:eastAsia="Arial" w:hAnsi="Arial" w:cs="Arial"/>
          <w:sz w:val="23"/>
          <w:szCs w:val="23"/>
        </w:rPr>
        <w:t xml:space="preserve"> </w:t>
      </w:r>
      <w:r>
        <w:rPr>
          <w:rFonts w:ascii="Arial" w:eastAsia="Arial" w:hAnsi="Arial" w:cs="Arial"/>
          <w:b/>
          <w:bCs/>
          <w:sz w:val="23"/>
          <w:szCs w:val="23"/>
        </w:rPr>
        <w:t>sistemática</w:t>
      </w:r>
      <w:r>
        <w:rPr>
          <w:rFonts w:ascii="Arial" w:eastAsia="Arial" w:hAnsi="Arial" w:cs="Arial"/>
          <w:sz w:val="23"/>
          <w:szCs w:val="23"/>
        </w:rPr>
        <w:t>: es permanente y observa el desempeño en la actividad diaria según un plan y</w:t>
      </w:r>
      <w:r>
        <w:rPr>
          <w:rFonts w:ascii="Arial" w:eastAsia="Arial" w:hAnsi="Arial" w:cs="Arial"/>
          <w:b/>
          <w:bCs/>
          <w:sz w:val="23"/>
          <w:szCs w:val="23"/>
        </w:rPr>
        <w:t xml:space="preserve"> </w:t>
      </w:r>
      <w:r>
        <w:rPr>
          <w:rFonts w:ascii="Arial" w:eastAsia="Arial" w:hAnsi="Arial" w:cs="Arial"/>
          <w:sz w:val="23"/>
          <w:szCs w:val="23"/>
        </w:rPr>
        <w:t xml:space="preserve">criterios de evaluación predeterminados y de conocimiento pleno del alumno. </w:t>
      </w:r>
      <w:r>
        <w:rPr>
          <w:rFonts w:ascii="Arial" w:eastAsia="Arial" w:hAnsi="Arial" w:cs="Arial"/>
          <w:b/>
          <w:bCs/>
          <w:sz w:val="23"/>
          <w:szCs w:val="23"/>
        </w:rPr>
        <w:t>Integra</w:t>
      </w:r>
      <w:r>
        <w:rPr>
          <w:rFonts w:ascii="Arial" w:eastAsia="Arial" w:hAnsi="Arial" w:cs="Arial"/>
          <w:sz w:val="23"/>
          <w:szCs w:val="23"/>
        </w:rPr>
        <w:t xml:space="preserve">l: comprende lo conceptual, actitudinal y procedimental. </w:t>
      </w:r>
      <w:r>
        <w:rPr>
          <w:rFonts w:ascii="Arial" w:eastAsia="Arial" w:hAnsi="Arial" w:cs="Arial"/>
          <w:b/>
          <w:bCs/>
          <w:sz w:val="23"/>
          <w:szCs w:val="23"/>
        </w:rPr>
        <w:t>Orientadora</w:t>
      </w:r>
      <w:r>
        <w:rPr>
          <w:rFonts w:ascii="Arial" w:eastAsia="Arial" w:hAnsi="Arial" w:cs="Arial"/>
          <w:sz w:val="23"/>
          <w:szCs w:val="23"/>
        </w:rPr>
        <w:t>: que sirva de guía y consejera tanto para el alumno como del propio profesor.</w:t>
      </w:r>
    </w:p>
    <w:p w:rsidR="00CF1771" w:rsidRDefault="00CF1771"/>
    <w:sectPr w:rsidR="00CF17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C5"/>
    <w:rsid w:val="003307EB"/>
    <w:rsid w:val="00CF1771"/>
    <w:rsid w:val="00F369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D012"/>
  <w15:chartTrackingRefBased/>
  <w15:docId w15:val="{3BD7570B-7EE5-434F-B2B0-2897796A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C5"/>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2222</Words>
  <Characters>12226</Characters>
  <Application>Microsoft Office Word</Application>
  <DocSecurity>0</DocSecurity>
  <Lines>101</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2020-07-14T20:13:00Z</dcterms:created>
  <dcterms:modified xsi:type="dcterms:W3CDTF">2020-07-14T20:15:00Z</dcterms:modified>
</cp:coreProperties>
</file>